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医学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类课程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课程思政案例</w:t>
      </w:r>
    </w:p>
    <w:bookmarkEnd w:id="0"/>
    <w:tbl>
      <w:tblPr>
        <w:tblStyle w:val="2"/>
        <w:tblW w:w="9365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880"/>
        <w:gridCol w:w="609"/>
        <w:gridCol w:w="786"/>
        <w:gridCol w:w="579"/>
        <w:gridCol w:w="906"/>
        <w:gridCol w:w="120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    位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授课教师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专业必修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案例情况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已开展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拟开展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案例名称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对应章节及内容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思政内容类型</w:t>
            </w:r>
          </w:p>
        </w:tc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融入方式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讲授时长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教学目标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  <w:t>教学目标（专业）：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  <w:t>教学目标（思政）：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专业理论知识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（要求简单介绍本节课知识要点及教学目标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课程思政思路与理念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（要求依托专业课知识，有机融入思政元素）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设计与实施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实效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  <w:t>与经验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任课教师签名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本人承诺所提交课程思政案例为本人原创，并同意案例为暨南大学医学教育课程思政案例库使用。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签名：</w:t>
            </w:r>
          </w:p>
        </w:tc>
      </w:tr>
    </w:tbl>
    <w:p>
      <w:pPr>
        <w:numPr>
          <w:ilvl w:val="0"/>
          <w:numId w:val="1"/>
        </w:num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思政内容类型包括：政治方向和方针政策、家国情怀和社会责任、医学专业伦理和道德法治、科学精神和职业发展、思维方式和人文精神、社会实践和志愿服务等；</w:t>
      </w:r>
    </w:p>
    <w:p>
      <w:pPr>
        <w:numPr>
          <w:ilvl w:val="0"/>
          <w:numId w:val="1"/>
        </w:numPr>
        <w:spacing w:line="400" w:lineRule="exact"/>
        <w:ind w:firstLine="480" w:firstLineChars="200"/>
        <w:jc w:val="left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融入方式包括：画龙点睛式、案例穿插式、专题嵌入式、隐性渗透式、讨论辨析式等。</w:t>
      </w:r>
    </w:p>
    <w:p/>
    <w:sectPr>
      <w:pgSz w:w="11906" w:h="16838"/>
      <w:pgMar w:top="1418" w:right="1758" w:bottom="1418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E9091"/>
    <w:multiLevelType w:val="singleLevel"/>
    <w:tmpl w:val="F92E90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2023-05-26T08:48:00Z</dcterms:created>
  <dc:creator>木葳</dc:creator>
  <cp:lastModifiedBy>木葳</cp:lastModifiedBy>
  <dcterms:modified xsi:type="dcterms:W3CDTF">2023-05-26T08:51:05Z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C1573D547A3345709D0BD56F8D45F6F7_11</vt:lpwstr>
  </property>
</Properties>
</file>