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5562C4E"/>
    <w:multiLevelType w:val="multilevel"/>
    <w:tmpl w:val="15562C4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uiPriority w:val="0"/>
    <w:rPr>
      <w:rFonts w:cs="MLStat"/>
      <w:sz w:val="20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">
    <w:name w:val="MLStat"/>
    <w:basedOn w:val="1"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D8226-01F2-4D63-8BA4-8ADD612F2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386</Characters>
  <Lines>193</Lines>
  <Paragraphs>103</Paragraphs>
  <TotalTime>1</TotalTime>
  <ScaleCrop>false</ScaleCrop>
  <LinksUpToDate>false</LinksUpToDate>
  <CharactersWithSpaces>724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牛奶麻麻</cp:lastModifiedBy>
  <cp:lastPrinted>2017-08-23T06:29:00Z</cp:lastPrinted>
  <dcterms:modified xsi:type="dcterms:W3CDTF">2019-09-19T07:09:30Z</dcterms:modified>
  <dc:title>Briefbogen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